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62" w:rsidRDefault="00774C62" w:rsidP="00774C62">
      <w:pPr>
        <w:autoSpaceDE w:val="0"/>
        <w:autoSpaceDN w:val="0"/>
        <w:adjustRightInd w:val="0"/>
        <w:jc w:val="center"/>
        <w:rPr>
          <w:rFonts w:ascii="Arial" w:hAnsi="Arial" w:cs="Arial"/>
          <w:b/>
        </w:rPr>
      </w:pPr>
      <w:r>
        <w:rPr>
          <w:rFonts w:ascii="Arial" w:hAnsi="Arial" w:cs="Arial"/>
          <w:b/>
        </w:rPr>
        <w:t xml:space="preserve">ANDSOOHA </w:t>
      </w:r>
      <w:r w:rsidR="008324B5">
        <w:rPr>
          <w:rFonts w:ascii="Arial" w:hAnsi="Arial" w:cs="Arial"/>
          <w:b/>
        </w:rPr>
        <w:t xml:space="preserve">- </w:t>
      </w:r>
      <w:r>
        <w:rPr>
          <w:rFonts w:ascii="Arial" w:hAnsi="Arial" w:cs="Arial"/>
          <w:b/>
        </w:rPr>
        <w:t>Annual General Meeting</w:t>
      </w:r>
    </w:p>
    <w:p w:rsidR="00774C62" w:rsidRDefault="00774C62" w:rsidP="00774C62">
      <w:pPr>
        <w:autoSpaceDE w:val="0"/>
        <w:autoSpaceDN w:val="0"/>
        <w:adjustRightInd w:val="0"/>
        <w:jc w:val="center"/>
        <w:rPr>
          <w:rFonts w:ascii="Arial" w:hAnsi="Arial" w:cs="Arial"/>
          <w:b/>
        </w:rPr>
      </w:pPr>
    </w:p>
    <w:p w:rsidR="00774C62" w:rsidRDefault="00774C62" w:rsidP="00774C62">
      <w:pPr>
        <w:autoSpaceDE w:val="0"/>
        <w:autoSpaceDN w:val="0"/>
        <w:adjustRightInd w:val="0"/>
        <w:jc w:val="center"/>
        <w:rPr>
          <w:rFonts w:ascii="Arial" w:hAnsi="Arial" w:cs="Arial"/>
          <w:b/>
        </w:rPr>
      </w:pPr>
      <w:r>
        <w:rPr>
          <w:rFonts w:ascii="Arial" w:hAnsi="Arial" w:cs="Arial"/>
          <w:b/>
        </w:rPr>
        <w:t>Education Report</w:t>
      </w:r>
      <w:r w:rsidR="008324B5">
        <w:rPr>
          <w:rFonts w:ascii="Arial" w:hAnsi="Arial" w:cs="Arial"/>
          <w:b/>
        </w:rPr>
        <w:t xml:space="preserve"> - October 2, 2013</w:t>
      </w:r>
    </w:p>
    <w:tbl>
      <w:tblPr>
        <w:tblW w:w="0" w:type="auto"/>
        <w:tblLook w:val="01E0" w:firstRow="1" w:lastRow="1" w:firstColumn="1" w:lastColumn="1" w:noHBand="0" w:noVBand="0"/>
      </w:tblPr>
      <w:tblGrid>
        <w:gridCol w:w="8748"/>
      </w:tblGrid>
      <w:tr w:rsidR="000541E9" w:rsidRPr="001008DD" w:rsidTr="000541E9">
        <w:tc>
          <w:tcPr>
            <w:tcW w:w="8748" w:type="dxa"/>
          </w:tcPr>
          <w:p w:rsidR="00D12A38" w:rsidRPr="00D12A38" w:rsidRDefault="00D12A38" w:rsidP="00D12A38">
            <w:pPr>
              <w:pStyle w:val="Default"/>
              <w:rPr>
                <w:sz w:val="22"/>
                <w:szCs w:val="22"/>
              </w:rPr>
            </w:pPr>
          </w:p>
          <w:p w:rsidR="00D12A38" w:rsidRPr="00D12A38" w:rsidRDefault="00D12A38" w:rsidP="00D12A38">
            <w:pPr>
              <w:jc w:val="both"/>
              <w:rPr>
                <w:sz w:val="22"/>
                <w:szCs w:val="22"/>
              </w:rPr>
            </w:pPr>
            <w:r w:rsidRPr="00D12A38">
              <w:rPr>
                <w:sz w:val="22"/>
                <w:szCs w:val="22"/>
              </w:rPr>
              <w:t xml:space="preserve">During the 2012-2013 year, ANDSOOHA has been involved in several educational activities through direct representation, support for research initiatives, and the provision of tools that are being reviewed and revised as highlighted in this report, including the following: </w:t>
            </w:r>
          </w:p>
          <w:p w:rsidR="00D12A38" w:rsidRPr="00D12A38" w:rsidRDefault="00D12A38" w:rsidP="00D12A38">
            <w:pPr>
              <w:jc w:val="both"/>
              <w:rPr>
                <w:sz w:val="22"/>
                <w:szCs w:val="22"/>
              </w:rPr>
            </w:pPr>
            <w:r w:rsidRPr="00D12A38">
              <w:rPr>
                <w:sz w:val="22"/>
                <w:szCs w:val="22"/>
              </w:rPr>
              <w:t xml:space="preserve"> </w:t>
            </w:r>
          </w:p>
          <w:p w:rsidR="001008DD" w:rsidRPr="00D12A38" w:rsidRDefault="001008DD" w:rsidP="00D12A38">
            <w:pPr>
              <w:jc w:val="both"/>
              <w:rPr>
                <w:sz w:val="22"/>
                <w:szCs w:val="22"/>
              </w:rPr>
            </w:pPr>
            <w:r w:rsidRPr="00D12A38">
              <w:rPr>
                <w:sz w:val="22"/>
                <w:szCs w:val="22"/>
              </w:rPr>
              <w:t xml:space="preserve">The </w:t>
            </w:r>
            <w:r w:rsidRPr="00D12A38">
              <w:rPr>
                <w:b/>
                <w:sz w:val="22"/>
                <w:szCs w:val="22"/>
              </w:rPr>
              <w:t xml:space="preserve">Canadian </w:t>
            </w:r>
            <w:r w:rsidR="00D12A38" w:rsidRPr="00D12A38">
              <w:rPr>
                <w:b/>
                <w:sz w:val="22"/>
                <w:szCs w:val="22"/>
              </w:rPr>
              <w:t xml:space="preserve">Association of </w:t>
            </w:r>
            <w:r w:rsidRPr="00D12A38">
              <w:rPr>
                <w:b/>
                <w:sz w:val="22"/>
                <w:szCs w:val="22"/>
              </w:rPr>
              <w:t>Schools of Nursing (CASN)</w:t>
            </w:r>
            <w:r w:rsidRPr="00D12A38">
              <w:rPr>
                <w:sz w:val="22"/>
                <w:szCs w:val="22"/>
              </w:rPr>
              <w:t xml:space="preserve"> submitted a proposal to the Public Health Agency of Canada (PHAC) for funding to continue previous work on public health core competencies for undergraduate nursing students.  After numerous delays at PHAC, this proposal was funded and CASN has re-established a Task Force to work on the development of a list of specific competencies to become part of the nursing curriculum.  ANDSOOHA was a founding member of the original CASN Public Health Education </w:t>
            </w:r>
            <w:r w:rsidR="00D12A38" w:rsidRPr="00D12A38">
              <w:rPr>
                <w:sz w:val="22"/>
                <w:szCs w:val="22"/>
              </w:rPr>
              <w:t>Subcommittee</w:t>
            </w:r>
            <w:r w:rsidRPr="00D12A38">
              <w:rPr>
                <w:sz w:val="22"/>
                <w:szCs w:val="22"/>
              </w:rPr>
              <w:t xml:space="preserve"> and was asked again to sit on the new Task Force. Extensive literature searches and environmental scans on competencies have been undertaken and a consultation process is scheduled for this fall.  After the competencies are established work on ensuring that they are embedded in all nursing schools’ curricula will begin.</w:t>
            </w:r>
          </w:p>
          <w:p w:rsidR="001008DD" w:rsidRPr="00D12A38" w:rsidRDefault="001008DD" w:rsidP="001008DD">
            <w:pPr>
              <w:pStyle w:val="ListParagraph"/>
              <w:rPr>
                <w:sz w:val="22"/>
                <w:szCs w:val="22"/>
              </w:rPr>
            </w:pPr>
          </w:p>
          <w:p w:rsidR="007374C4" w:rsidRPr="00D12A38" w:rsidRDefault="001008DD" w:rsidP="002F7B06">
            <w:pPr>
              <w:rPr>
                <w:sz w:val="22"/>
                <w:szCs w:val="22"/>
              </w:rPr>
            </w:pPr>
            <w:r w:rsidRPr="00D12A38">
              <w:rPr>
                <w:sz w:val="22"/>
                <w:szCs w:val="22"/>
              </w:rPr>
              <w:t>T</w:t>
            </w:r>
            <w:r w:rsidR="00134E72" w:rsidRPr="00D12A38">
              <w:rPr>
                <w:sz w:val="22"/>
                <w:szCs w:val="22"/>
              </w:rPr>
              <w:t>he</w:t>
            </w:r>
            <w:r w:rsidR="00134E72" w:rsidRPr="00D12A38">
              <w:rPr>
                <w:b/>
                <w:sz w:val="22"/>
                <w:szCs w:val="22"/>
              </w:rPr>
              <w:t xml:space="preserve"> </w:t>
            </w:r>
            <w:r w:rsidR="000541E9" w:rsidRPr="00D12A38">
              <w:rPr>
                <w:b/>
                <w:sz w:val="22"/>
                <w:szCs w:val="22"/>
              </w:rPr>
              <w:t>Nursing Education for a Sustainable Healthcare System Working Group</w:t>
            </w:r>
            <w:r w:rsidR="00134E72" w:rsidRPr="00D12A38">
              <w:rPr>
                <w:b/>
                <w:sz w:val="22"/>
                <w:szCs w:val="22"/>
              </w:rPr>
              <w:t xml:space="preserve"> </w:t>
            </w:r>
            <w:r w:rsidRPr="00D12A38">
              <w:rPr>
                <w:sz w:val="22"/>
                <w:szCs w:val="22"/>
              </w:rPr>
              <w:t>has</w:t>
            </w:r>
            <w:r w:rsidRPr="00D12A38">
              <w:rPr>
                <w:b/>
                <w:sz w:val="22"/>
                <w:szCs w:val="22"/>
              </w:rPr>
              <w:t xml:space="preserve"> </w:t>
            </w:r>
            <w:r w:rsidRPr="00D12A38">
              <w:rPr>
                <w:sz w:val="22"/>
                <w:szCs w:val="22"/>
              </w:rPr>
              <w:t>ANDSOOHA representation.  The purpose of this groups is “</w:t>
            </w:r>
            <w:r w:rsidR="00134E72" w:rsidRPr="00D12A38">
              <w:rPr>
                <w:sz w:val="22"/>
                <w:szCs w:val="22"/>
              </w:rPr>
              <w:t>t</w:t>
            </w:r>
            <w:r w:rsidR="000541E9" w:rsidRPr="00D12A38">
              <w:rPr>
                <w:sz w:val="22"/>
                <w:szCs w:val="22"/>
              </w:rPr>
              <w:t xml:space="preserve">o provide expert advice to </w:t>
            </w:r>
            <w:r w:rsidR="002A2E87" w:rsidRPr="00D12A38">
              <w:rPr>
                <w:sz w:val="22"/>
                <w:szCs w:val="22"/>
              </w:rPr>
              <w:t xml:space="preserve">the </w:t>
            </w:r>
            <w:r w:rsidR="000541E9" w:rsidRPr="00D12A38">
              <w:rPr>
                <w:b/>
                <w:sz w:val="22"/>
                <w:szCs w:val="22"/>
              </w:rPr>
              <w:t>Joint Provincial Nursing Committee</w:t>
            </w:r>
            <w:r w:rsidR="000541E9" w:rsidRPr="00D12A38">
              <w:rPr>
                <w:sz w:val="22"/>
                <w:szCs w:val="22"/>
              </w:rPr>
              <w:t xml:space="preserve"> (</w:t>
            </w:r>
            <w:r w:rsidR="000541E9" w:rsidRPr="00D12A38">
              <w:rPr>
                <w:b/>
                <w:sz w:val="22"/>
                <w:szCs w:val="22"/>
              </w:rPr>
              <w:t>JPNC</w:t>
            </w:r>
            <w:r w:rsidR="000541E9" w:rsidRPr="00D12A38">
              <w:rPr>
                <w:sz w:val="22"/>
                <w:szCs w:val="22"/>
              </w:rPr>
              <w:t xml:space="preserve">) on strategies/initiatives that align nursing education with the needs of the developing healthcare system, including nursing program size, quality and access, as well as quality, </w:t>
            </w:r>
            <w:r w:rsidR="000541E9" w:rsidRPr="00D12A38">
              <w:rPr>
                <w:sz w:val="22"/>
                <w:szCs w:val="22"/>
                <w:lang w:val="en-US"/>
              </w:rPr>
              <w:t>availability and type of clinical placements</w:t>
            </w:r>
            <w:r w:rsidR="00774C62" w:rsidRPr="00D12A38">
              <w:rPr>
                <w:sz w:val="22"/>
                <w:szCs w:val="22"/>
                <w:lang w:val="en-US"/>
              </w:rPr>
              <w:t>”</w:t>
            </w:r>
            <w:r w:rsidR="002A2E87" w:rsidRPr="00D12A38">
              <w:rPr>
                <w:sz w:val="22"/>
                <w:szCs w:val="22"/>
                <w:lang w:val="en-US"/>
              </w:rPr>
              <w:t xml:space="preserve"> (Terms of Reference, 2013)</w:t>
            </w:r>
            <w:r w:rsidR="000541E9" w:rsidRPr="00D12A38">
              <w:rPr>
                <w:sz w:val="22"/>
                <w:szCs w:val="22"/>
                <w:lang w:val="en-US"/>
              </w:rPr>
              <w:t xml:space="preserve">. </w:t>
            </w:r>
            <w:r w:rsidR="002A2E87" w:rsidRPr="00D12A38">
              <w:rPr>
                <w:sz w:val="22"/>
                <w:szCs w:val="22"/>
                <w:lang w:val="en-US"/>
              </w:rPr>
              <w:t xml:space="preserve">The objectives of this working group are to </w:t>
            </w:r>
            <w:r w:rsidRPr="00D12A38">
              <w:rPr>
                <w:sz w:val="22"/>
                <w:szCs w:val="22"/>
                <w:lang w:val="en-US"/>
              </w:rPr>
              <w:t>“p</w:t>
            </w:r>
            <w:r w:rsidR="00E31B47" w:rsidRPr="00D12A38">
              <w:rPr>
                <w:sz w:val="22"/>
                <w:szCs w:val="22"/>
              </w:rPr>
              <w:t>provide</w:t>
            </w:r>
            <w:r w:rsidR="007374C4" w:rsidRPr="00D12A38">
              <w:rPr>
                <w:sz w:val="22"/>
                <w:szCs w:val="22"/>
              </w:rPr>
              <w:t xml:space="preserve"> recommendations to JPNC regarding how to align nurse education program enrolment with health human resource needs</w:t>
            </w:r>
            <w:r w:rsidR="002A2E87" w:rsidRPr="00D12A38">
              <w:rPr>
                <w:sz w:val="22"/>
                <w:szCs w:val="22"/>
              </w:rPr>
              <w:t>, and</w:t>
            </w:r>
            <w:r w:rsidR="007374C4" w:rsidRPr="00D12A38">
              <w:rPr>
                <w:sz w:val="22"/>
                <w:szCs w:val="22"/>
              </w:rPr>
              <w:t xml:space="preserve"> </w:t>
            </w:r>
            <w:r w:rsidRPr="00D12A38">
              <w:rPr>
                <w:sz w:val="22"/>
                <w:szCs w:val="22"/>
              </w:rPr>
              <w:t>to p</w:t>
            </w:r>
            <w:r w:rsidR="007374C4" w:rsidRPr="00D12A38">
              <w:rPr>
                <w:sz w:val="22"/>
                <w:szCs w:val="22"/>
              </w:rPr>
              <w:t>rovide recommendations to the JPNC regarding how to develop the clinical</w:t>
            </w:r>
            <w:r w:rsidRPr="00D12A38">
              <w:rPr>
                <w:sz w:val="22"/>
                <w:szCs w:val="22"/>
              </w:rPr>
              <w:t xml:space="preserve"> </w:t>
            </w:r>
            <w:r w:rsidR="007374C4" w:rsidRPr="00D12A38">
              <w:rPr>
                <w:sz w:val="22"/>
                <w:szCs w:val="22"/>
              </w:rPr>
              <w:t xml:space="preserve">education system in a manner that addresses patient needs across the continuum of care, </w:t>
            </w:r>
            <w:proofErr w:type="spellStart"/>
            <w:r w:rsidR="007374C4" w:rsidRPr="00D12A38">
              <w:rPr>
                <w:sz w:val="22"/>
                <w:szCs w:val="22"/>
              </w:rPr>
              <w:t>interprofessional</w:t>
            </w:r>
            <w:proofErr w:type="spellEnd"/>
            <w:r w:rsidR="007374C4" w:rsidRPr="00D12A38">
              <w:rPr>
                <w:sz w:val="22"/>
                <w:szCs w:val="22"/>
              </w:rPr>
              <w:t xml:space="preserve"> care, and the overall shortage of clinical placements.”  </w:t>
            </w:r>
          </w:p>
          <w:p w:rsidR="000541E9" w:rsidRPr="00D12A38" w:rsidRDefault="000541E9">
            <w:pPr>
              <w:rPr>
                <w:b/>
                <w:sz w:val="22"/>
                <w:szCs w:val="22"/>
              </w:rPr>
            </w:pPr>
          </w:p>
        </w:tc>
      </w:tr>
      <w:tr w:rsidR="000541E9" w:rsidRPr="001008DD" w:rsidTr="000541E9">
        <w:tc>
          <w:tcPr>
            <w:tcW w:w="8748" w:type="dxa"/>
          </w:tcPr>
          <w:p w:rsidR="009A0F77" w:rsidRPr="00D12A38" w:rsidRDefault="00774C62" w:rsidP="002F7B06">
            <w:pPr>
              <w:rPr>
                <w:sz w:val="22"/>
                <w:szCs w:val="22"/>
              </w:rPr>
            </w:pPr>
            <w:r w:rsidRPr="00D12A38">
              <w:rPr>
                <w:sz w:val="22"/>
                <w:szCs w:val="22"/>
              </w:rPr>
              <w:t xml:space="preserve">The </w:t>
            </w:r>
            <w:r w:rsidR="008D74F1" w:rsidRPr="00D12A38">
              <w:rPr>
                <w:sz w:val="22"/>
                <w:szCs w:val="22"/>
              </w:rPr>
              <w:t>focus of meetings in 2013 has</w:t>
            </w:r>
            <w:r w:rsidR="00205AC6" w:rsidRPr="00D12A38">
              <w:rPr>
                <w:sz w:val="22"/>
                <w:szCs w:val="22"/>
              </w:rPr>
              <w:t xml:space="preserve"> been on the </w:t>
            </w:r>
            <w:r w:rsidRPr="00D12A38">
              <w:rPr>
                <w:sz w:val="22"/>
                <w:szCs w:val="22"/>
              </w:rPr>
              <w:t xml:space="preserve">finalization of Terms of Reference for the Working Group as well as </w:t>
            </w:r>
            <w:r w:rsidR="00694687" w:rsidRPr="00D12A38">
              <w:rPr>
                <w:sz w:val="22"/>
                <w:szCs w:val="22"/>
              </w:rPr>
              <w:t xml:space="preserve">survey </w:t>
            </w:r>
            <w:r w:rsidR="00205AC6" w:rsidRPr="00D12A38">
              <w:rPr>
                <w:sz w:val="22"/>
                <w:szCs w:val="22"/>
              </w:rPr>
              <w:t>development</w:t>
            </w:r>
            <w:r w:rsidRPr="00D12A38">
              <w:rPr>
                <w:sz w:val="22"/>
                <w:szCs w:val="22"/>
              </w:rPr>
              <w:t xml:space="preserve">.  Surveys </w:t>
            </w:r>
            <w:r w:rsidR="00694687" w:rsidRPr="00D12A38">
              <w:rPr>
                <w:sz w:val="22"/>
                <w:szCs w:val="22"/>
              </w:rPr>
              <w:t xml:space="preserve">will be </w:t>
            </w:r>
            <w:r w:rsidRPr="00D12A38">
              <w:rPr>
                <w:sz w:val="22"/>
                <w:szCs w:val="22"/>
              </w:rPr>
              <w:t>distribut</w:t>
            </w:r>
            <w:r w:rsidR="00694687" w:rsidRPr="00D12A38">
              <w:rPr>
                <w:sz w:val="22"/>
                <w:szCs w:val="22"/>
              </w:rPr>
              <w:t>ed</w:t>
            </w:r>
            <w:r w:rsidRPr="00D12A38">
              <w:rPr>
                <w:sz w:val="22"/>
                <w:szCs w:val="22"/>
              </w:rPr>
              <w:t xml:space="preserve"> to nursing schools and agencies employing nurses </w:t>
            </w:r>
            <w:r w:rsidR="00205AC6" w:rsidRPr="00D12A38">
              <w:rPr>
                <w:sz w:val="22"/>
                <w:szCs w:val="22"/>
              </w:rPr>
              <w:t xml:space="preserve">to explore barriers and enablers </w:t>
            </w:r>
            <w:r w:rsidRPr="00D12A38">
              <w:rPr>
                <w:sz w:val="22"/>
                <w:szCs w:val="22"/>
              </w:rPr>
              <w:t xml:space="preserve">for practical nursing and </w:t>
            </w:r>
            <w:r w:rsidR="00205AC6" w:rsidRPr="00D12A38">
              <w:rPr>
                <w:sz w:val="22"/>
                <w:szCs w:val="22"/>
              </w:rPr>
              <w:t>baccalaureate nursing placements in order to inform policy</w:t>
            </w:r>
            <w:r w:rsidR="001C2DE1" w:rsidRPr="00D12A38">
              <w:rPr>
                <w:sz w:val="22"/>
                <w:szCs w:val="22"/>
              </w:rPr>
              <w:t>.</w:t>
            </w:r>
          </w:p>
          <w:p w:rsidR="009A0F77" w:rsidRPr="00D12A38" w:rsidRDefault="009A0F77" w:rsidP="001F6C68">
            <w:pPr>
              <w:pStyle w:val="ListParagraph"/>
              <w:rPr>
                <w:color w:val="1F497D"/>
                <w:sz w:val="22"/>
                <w:szCs w:val="22"/>
              </w:rPr>
            </w:pPr>
          </w:p>
          <w:p w:rsidR="001C2DE1" w:rsidRPr="00D12A38" w:rsidRDefault="002A2E87" w:rsidP="002F7B06">
            <w:pPr>
              <w:rPr>
                <w:sz w:val="22"/>
                <w:szCs w:val="22"/>
              </w:rPr>
            </w:pPr>
            <w:r w:rsidRPr="00D12A38">
              <w:rPr>
                <w:sz w:val="22"/>
                <w:szCs w:val="22"/>
              </w:rPr>
              <w:t>A</w:t>
            </w:r>
            <w:r w:rsidR="001C2DE1" w:rsidRPr="00D12A38">
              <w:rPr>
                <w:sz w:val="22"/>
                <w:szCs w:val="22"/>
              </w:rPr>
              <w:t xml:space="preserve">NDSOOHA submitted a Letter of Support for the </w:t>
            </w:r>
            <w:r w:rsidR="001C2DE1" w:rsidRPr="00D12A38">
              <w:rPr>
                <w:b/>
                <w:sz w:val="22"/>
                <w:szCs w:val="22"/>
              </w:rPr>
              <w:t>“Leadership in Public Health</w:t>
            </w:r>
            <w:r w:rsidR="008C609C" w:rsidRPr="00D12A38">
              <w:rPr>
                <w:b/>
                <w:sz w:val="22"/>
                <w:szCs w:val="22"/>
              </w:rPr>
              <w:t>”</w:t>
            </w:r>
            <w:r w:rsidR="001C2DE1" w:rsidRPr="00D12A38">
              <w:rPr>
                <w:sz w:val="22"/>
                <w:szCs w:val="22"/>
              </w:rPr>
              <w:t xml:space="preserve"> </w:t>
            </w:r>
            <w:r w:rsidRPr="00D12A38">
              <w:rPr>
                <w:sz w:val="22"/>
                <w:szCs w:val="22"/>
              </w:rPr>
              <w:t>for a CIHR-PHSI r</w:t>
            </w:r>
            <w:r w:rsidR="001C2DE1" w:rsidRPr="00D12A38">
              <w:rPr>
                <w:sz w:val="22"/>
                <w:szCs w:val="22"/>
              </w:rPr>
              <w:t xml:space="preserve">esearch </w:t>
            </w:r>
            <w:r w:rsidRPr="00D12A38">
              <w:rPr>
                <w:sz w:val="22"/>
                <w:szCs w:val="22"/>
              </w:rPr>
              <w:t>grant p</w:t>
            </w:r>
            <w:r w:rsidR="001C2DE1" w:rsidRPr="00D12A38">
              <w:rPr>
                <w:sz w:val="22"/>
                <w:szCs w:val="22"/>
              </w:rPr>
              <w:t>roposal</w:t>
            </w:r>
            <w:r w:rsidRPr="00D12A38">
              <w:rPr>
                <w:sz w:val="22"/>
                <w:szCs w:val="22"/>
              </w:rPr>
              <w:t>.</w:t>
            </w:r>
            <w:r w:rsidR="001C2DE1" w:rsidRPr="00D12A38">
              <w:rPr>
                <w:sz w:val="22"/>
                <w:szCs w:val="22"/>
              </w:rPr>
              <w:t xml:space="preserve">  At the last Annual General Meeting, ANDSOOHA Membership supported providing resources to this project</w:t>
            </w:r>
            <w:r w:rsidR="008C609C" w:rsidRPr="00D12A38">
              <w:rPr>
                <w:sz w:val="22"/>
                <w:szCs w:val="22"/>
              </w:rPr>
              <w:t xml:space="preserve"> </w:t>
            </w:r>
            <w:r w:rsidR="001C2DE1" w:rsidRPr="00D12A38">
              <w:rPr>
                <w:sz w:val="22"/>
                <w:szCs w:val="22"/>
              </w:rPr>
              <w:t>if approved, in</w:t>
            </w:r>
            <w:r w:rsidR="008C609C" w:rsidRPr="00D12A38">
              <w:rPr>
                <w:sz w:val="22"/>
                <w:szCs w:val="22"/>
              </w:rPr>
              <w:t>cluding</w:t>
            </w:r>
            <w:r w:rsidR="001C2DE1" w:rsidRPr="00D12A38">
              <w:rPr>
                <w:sz w:val="22"/>
                <w:szCs w:val="22"/>
              </w:rPr>
              <w:t xml:space="preserve"> $2500</w:t>
            </w:r>
            <w:r w:rsidR="008D74F1" w:rsidRPr="00D12A38">
              <w:rPr>
                <w:sz w:val="22"/>
                <w:szCs w:val="22"/>
              </w:rPr>
              <w:t>. /</w:t>
            </w:r>
            <w:r w:rsidR="001C2DE1" w:rsidRPr="00D12A38">
              <w:rPr>
                <w:sz w:val="22"/>
                <w:szCs w:val="22"/>
              </w:rPr>
              <w:t xml:space="preserve">year for 2 years and an ANDSOOHA representative to the Steering Committee.  </w:t>
            </w:r>
            <w:r w:rsidR="00134E72" w:rsidRPr="00D12A38">
              <w:rPr>
                <w:sz w:val="22"/>
                <w:szCs w:val="22"/>
              </w:rPr>
              <w:t xml:space="preserve">Unfortunately the submission was </w:t>
            </w:r>
            <w:r w:rsidRPr="00D12A38">
              <w:rPr>
                <w:sz w:val="22"/>
                <w:szCs w:val="22"/>
              </w:rPr>
              <w:t xml:space="preserve">not </w:t>
            </w:r>
            <w:r w:rsidR="00134E72" w:rsidRPr="00D12A38">
              <w:rPr>
                <w:sz w:val="22"/>
                <w:szCs w:val="22"/>
              </w:rPr>
              <w:t>awarded a grant.</w:t>
            </w:r>
          </w:p>
          <w:p w:rsidR="001C2DE1" w:rsidRPr="00D12A38" w:rsidRDefault="001C2DE1" w:rsidP="001C2DE1">
            <w:pPr>
              <w:pStyle w:val="ListParagraph"/>
              <w:rPr>
                <w:color w:val="1F497D"/>
                <w:sz w:val="22"/>
                <w:szCs w:val="22"/>
              </w:rPr>
            </w:pPr>
          </w:p>
          <w:p w:rsidR="005C65D4" w:rsidRPr="00D12A38" w:rsidRDefault="005C65D4" w:rsidP="002F7B06">
            <w:pPr>
              <w:rPr>
                <w:sz w:val="22"/>
                <w:szCs w:val="22"/>
              </w:rPr>
            </w:pPr>
            <w:r w:rsidRPr="00D12A38">
              <w:rPr>
                <w:b/>
                <w:sz w:val="22"/>
                <w:szCs w:val="22"/>
              </w:rPr>
              <w:t>“Transition to Public Health Nursing” (ANDSOOHA</w:t>
            </w:r>
            <w:r w:rsidRPr="00D12A38">
              <w:rPr>
                <w:sz w:val="22"/>
                <w:szCs w:val="22"/>
              </w:rPr>
              <w:t>)</w:t>
            </w:r>
            <w:r w:rsidR="007F04A3" w:rsidRPr="00D12A38">
              <w:rPr>
                <w:sz w:val="22"/>
                <w:szCs w:val="22"/>
              </w:rPr>
              <w:t xml:space="preserve"> </w:t>
            </w:r>
            <w:r w:rsidRPr="00D12A38">
              <w:rPr>
                <w:sz w:val="22"/>
                <w:szCs w:val="22"/>
              </w:rPr>
              <w:t xml:space="preserve">is being </w:t>
            </w:r>
            <w:r w:rsidR="007F04A3" w:rsidRPr="00D12A38">
              <w:rPr>
                <w:sz w:val="22"/>
                <w:szCs w:val="22"/>
              </w:rPr>
              <w:t>revised</w:t>
            </w:r>
            <w:r w:rsidRPr="00D12A38">
              <w:rPr>
                <w:sz w:val="22"/>
                <w:szCs w:val="22"/>
              </w:rPr>
              <w:t xml:space="preserve"> by the Northern Chief Nursing Officer</w:t>
            </w:r>
            <w:r w:rsidR="007F04A3" w:rsidRPr="00D12A38">
              <w:rPr>
                <w:sz w:val="22"/>
                <w:szCs w:val="22"/>
              </w:rPr>
              <w:t>s</w:t>
            </w:r>
            <w:r w:rsidRPr="00D12A38">
              <w:rPr>
                <w:sz w:val="22"/>
                <w:szCs w:val="22"/>
              </w:rPr>
              <w:t>.  In addition, Northern CNO’s</w:t>
            </w:r>
            <w:r w:rsidR="007F04A3" w:rsidRPr="00D12A38">
              <w:rPr>
                <w:sz w:val="22"/>
                <w:szCs w:val="22"/>
              </w:rPr>
              <w:t xml:space="preserve"> </w:t>
            </w:r>
            <w:r w:rsidR="001C2DE1" w:rsidRPr="00D12A38">
              <w:rPr>
                <w:sz w:val="22"/>
                <w:szCs w:val="22"/>
              </w:rPr>
              <w:t>will be surveying</w:t>
            </w:r>
            <w:r w:rsidRPr="00D12A38">
              <w:rPr>
                <w:sz w:val="22"/>
                <w:szCs w:val="22"/>
              </w:rPr>
              <w:t xml:space="preserve"> Ontario CNO’s to explore tool utilization</w:t>
            </w:r>
            <w:r w:rsidR="002A2E87" w:rsidRPr="00D12A38">
              <w:rPr>
                <w:sz w:val="22"/>
                <w:szCs w:val="22"/>
              </w:rPr>
              <w:t>.</w:t>
            </w:r>
          </w:p>
          <w:p w:rsidR="0093368C" w:rsidRPr="00D12A38" w:rsidRDefault="0093368C" w:rsidP="00134E72">
            <w:pPr>
              <w:rPr>
                <w:sz w:val="22"/>
                <w:szCs w:val="22"/>
              </w:rPr>
            </w:pPr>
          </w:p>
          <w:p w:rsidR="00134E72" w:rsidRPr="00D12A38" w:rsidRDefault="00134E72" w:rsidP="00134E72">
            <w:pPr>
              <w:rPr>
                <w:sz w:val="22"/>
                <w:szCs w:val="22"/>
              </w:rPr>
            </w:pPr>
            <w:r w:rsidRPr="00D12A38">
              <w:rPr>
                <w:sz w:val="22"/>
                <w:szCs w:val="22"/>
              </w:rPr>
              <w:t>Respectfully submitted,</w:t>
            </w:r>
          </w:p>
          <w:p w:rsidR="002F7B06" w:rsidRPr="00D12A38" w:rsidRDefault="00134E72" w:rsidP="00134E72">
            <w:pPr>
              <w:rPr>
                <w:sz w:val="22"/>
                <w:szCs w:val="22"/>
              </w:rPr>
            </w:pPr>
            <w:r w:rsidRPr="00D12A38">
              <w:rPr>
                <w:sz w:val="22"/>
                <w:szCs w:val="22"/>
              </w:rPr>
              <w:t>Mary Jean Watson</w:t>
            </w:r>
          </w:p>
          <w:p w:rsidR="0093368C" w:rsidRPr="00D12A38" w:rsidRDefault="00D12A38" w:rsidP="00D12A38">
            <w:pPr>
              <w:rPr>
                <w:b/>
                <w:sz w:val="22"/>
                <w:szCs w:val="22"/>
              </w:rPr>
            </w:pPr>
            <w:r w:rsidRPr="00D12A38">
              <w:t>Education Portfolio Representative, President-Elect ANDSOOHA</w:t>
            </w:r>
          </w:p>
        </w:tc>
      </w:tr>
      <w:tr w:rsidR="00774C62" w:rsidRPr="001008DD" w:rsidTr="000541E9">
        <w:tc>
          <w:tcPr>
            <w:tcW w:w="8748" w:type="dxa"/>
          </w:tcPr>
          <w:p w:rsidR="00774C62" w:rsidRPr="001008DD" w:rsidRDefault="00774C62" w:rsidP="00205AC6"/>
        </w:tc>
      </w:tr>
    </w:tbl>
    <w:p w:rsidR="006A23BE" w:rsidRPr="001008DD" w:rsidRDefault="006A23BE"/>
    <w:sectPr w:rsidR="006A23BE" w:rsidRPr="001008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0C50"/>
    <w:multiLevelType w:val="hybridMultilevel"/>
    <w:tmpl w:val="1A2ED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B21D12"/>
    <w:multiLevelType w:val="hybridMultilevel"/>
    <w:tmpl w:val="A3B60150"/>
    <w:lvl w:ilvl="0" w:tplc="B852BA7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14551"/>
    <w:multiLevelType w:val="hybridMultilevel"/>
    <w:tmpl w:val="EB944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272A44"/>
    <w:multiLevelType w:val="hybridMultilevel"/>
    <w:tmpl w:val="7DC8FE94"/>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4">
    <w:nsid w:val="67B84F1B"/>
    <w:multiLevelType w:val="hybridMultilevel"/>
    <w:tmpl w:val="AB54557C"/>
    <w:lvl w:ilvl="0" w:tplc="C7A6A7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907DF"/>
    <w:multiLevelType w:val="hybridMultilevel"/>
    <w:tmpl w:val="30C2DBAE"/>
    <w:lvl w:ilvl="0" w:tplc="C7A6A7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E9"/>
    <w:rsid w:val="000541E9"/>
    <w:rsid w:val="001008DD"/>
    <w:rsid w:val="00134E72"/>
    <w:rsid w:val="00174888"/>
    <w:rsid w:val="001B3E0A"/>
    <w:rsid w:val="001C2DE1"/>
    <w:rsid w:val="001F6C68"/>
    <w:rsid w:val="00205AC6"/>
    <w:rsid w:val="002A2E87"/>
    <w:rsid w:val="002F7B06"/>
    <w:rsid w:val="00322E03"/>
    <w:rsid w:val="005C65D4"/>
    <w:rsid w:val="00600624"/>
    <w:rsid w:val="00694687"/>
    <w:rsid w:val="006A23BE"/>
    <w:rsid w:val="007374C4"/>
    <w:rsid w:val="00774C62"/>
    <w:rsid w:val="007F04A3"/>
    <w:rsid w:val="008324B5"/>
    <w:rsid w:val="00873F6F"/>
    <w:rsid w:val="008C609C"/>
    <w:rsid w:val="008D74F1"/>
    <w:rsid w:val="0093368C"/>
    <w:rsid w:val="009A0F77"/>
    <w:rsid w:val="00AE1492"/>
    <w:rsid w:val="00B5353E"/>
    <w:rsid w:val="00CF22AD"/>
    <w:rsid w:val="00D12A38"/>
    <w:rsid w:val="00DE7F17"/>
    <w:rsid w:val="00E3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1E9"/>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C62"/>
    <w:pPr>
      <w:ind w:left="720"/>
      <w:contextualSpacing/>
    </w:pPr>
  </w:style>
  <w:style w:type="character" w:styleId="Hyperlink">
    <w:name w:val="Hyperlink"/>
    <w:basedOn w:val="DefaultParagraphFont"/>
    <w:uiPriority w:val="99"/>
    <w:unhideWhenUsed/>
    <w:rsid w:val="005C65D4"/>
    <w:rPr>
      <w:color w:val="0000FF"/>
      <w:u w:val="single"/>
    </w:rPr>
  </w:style>
  <w:style w:type="paragraph" w:styleId="BalloonText">
    <w:name w:val="Balloon Text"/>
    <w:basedOn w:val="Normal"/>
    <w:link w:val="BalloonTextChar"/>
    <w:rsid w:val="005C65D4"/>
    <w:rPr>
      <w:rFonts w:ascii="Tahoma" w:hAnsi="Tahoma" w:cs="Tahoma"/>
      <w:sz w:val="16"/>
      <w:szCs w:val="16"/>
    </w:rPr>
  </w:style>
  <w:style w:type="character" w:customStyle="1" w:styleId="BalloonTextChar">
    <w:name w:val="Balloon Text Char"/>
    <w:basedOn w:val="DefaultParagraphFont"/>
    <w:link w:val="BalloonText"/>
    <w:rsid w:val="005C65D4"/>
    <w:rPr>
      <w:rFonts w:ascii="Tahoma" w:hAnsi="Tahoma" w:cs="Tahoma"/>
      <w:sz w:val="16"/>
      <w:szCs w:val="16"/>
      <w:lang w:val="en-CA" w:eastAsia="en-CA"/>
    </w:rPr>
  </w:style>
  <w:style w:type="paragraph" w:customStyle="1" w:styleId="Default">
    <w:name w:val="Default"/>
    <w:rsid w:val="00D12A3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1E9"/>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C62"/>
    <w:pPr>
      <w:ind w:left="720"/>
      <w:contextualSpacing/>
    </w:pPr>
  </w:style>
  <w:style w:type="character" w:styleId="Hyperlink">
    <w:name w:val="Hyperlink"/>
    <w:basedOn w:val="DefaultParagraphFont"/>
    <w:uiPriority w:val="99"/>
    <w:unhideWhenUsed/>
    <w:rsid w:val="005C65D4"/>
    <w:rPr>
      <w:color w:val="0000FF"/>
      <w:u w:val="single"/>
    </w:rPr>
  </w:style>
  <w:style w:type="paragraph" w:styleId="BalloonText">
    <w:name w:val="Balloon Text"/>
    <w:basedOn w:val="Normal"/>
    <w:link w:val="BalloonTextChar"/>
    <w:rsid w:val="005C65D4"/>
    <w:rPr>
      <w:rFonts w:ascii="Tahoma" w:hAnsi="Tahoma" w:cs="Tahoma"/>
      <w:sz w:val="16"/>
      <w:szCs w:val="16"/>
    </w:rPr>
  </w:style>
  <w:style w:type="character" w:customStyle="1" w:styleId="BalloonTextChar">
    <w:name w:val="Balloon Text Char"/>
    <w:basedOn w:val="DefaultParagraphFont"/>
    <w:link w:val="BalloonText"/>
    <w:rsid w:val="005C65D4"/>
    <w:rPr>
      <w:rFonts w:ascii="Tahoma" w:hAnsi="Tahoma" w:cs="Tahoma"/>
      <w:sz w:val="16"/>
      <w:szCs w:val="16"/>
      <w:lang w:val="en-CA" w:eastAsia="en-CA"/>
    </w:rPr>
  </w:style>
  <w:style w:type="paragraph" w:customStyle="1" w:styleId="Default">
    <w:name w:val="Default"/>
    <w:rsid w:val="00D12A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0372">
      <w:bodyDiv w:val="1"/>
      <w:marLeft w:val="0"/>
      <w:marRight w:val="0"/>
      <w:marTop w:val="0"/>
      <w:marBottom w:val="0"/>
      <w:divBdr>
        <w:top w:val="none" w:sz="0" w:space="0" w:color="auto"/>
        <w:left w:val="none" w:sz="0" w:space="0" w:color="auto"/>
        <w:bottom w:val="none" w:sz="0" w:space="0" w:color="auto"/>
        <w:right w:val="none" w:sz="0" w:space="0" w:color="auto"/>
      </w:divBdr>
    </w:div>
    <w:div w:id="115486131">
      <w:bodyDiv w:val="1"/>
      <w:marLeft w:val="0"/>
      <w:marRight w:val="0"/>
      <w:marTop w:val="0"/>
      <w:marBottom w:val="0"/>
      <w:divBdr>
        <w:top w:val="none" w:sz="0" w:space="0" w:color="auto"/>
        <w:left w:val="none" w:sz="0" w:space="0" w:color="auto"/>
        <w:bottom w:val="none" w:sz="0" w:space="0" w:color="auto"/>
        <w:right w:val="none" w:sz="0" w:space="0" w:color="auto"/>
      </w:divBdr>
    </w:div>
    <w:div w:id="689916103">
      <w:bodyDiv w:val="1"/>
      <w:marLeft w:val="0"/>
      <w:marRight w:val="0"/>
      <w:marTop w:val="0"/>
      <w:marBottom w:val="0"/>
      <w:divBdr>
        <w:top w:val="none" w:sz="0" w:space="0" w:color="auto"/>
        <w:left w:val="none" w:sz="0" w:space="0" w:color="auto"/>
        <w:bottom w:val="none" w:sz="0" w:space="0" w:color="auto"/>
        <w:right w:val="none" w:sz="0" w:space="0" w:color="auto"/>
      </w:divBdr>
    </w:div>
    <w:div w:id="1042904911">
      <w:bodyDiv w:val="1"/>
      <w:marLeft w:val="0"/>
      <w:marRight w:val="0"/>
      <w:marTop w:val="0"/>
      <w:marBottom w:val="0"/>
      <w:divBdr>
        <w:top w:val="none" w:sz="0" w:space="0" w:color="auto"/>
        <w:left w:val="none" w:sz="0" w:space="0" w:color="auto"/>
        <w:bottom w:val="none" w:sz="0" w:space="0" w:color="auto"/>
        <w:right w:val="none" w:sz="0" w:space="0" w:color="auto"/>
      </w:divBdr>
    </w:div>
    <w:div w:id="153835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Mary Jean</dc:creator>
  <cp:lastModifiedBy>Staff</cp:lastModifiedBy>
  <cp:revision>2</cp:revision>
  <dcterms:created xsi:type="dcterms:W3CDTF">2013-09-30T18:36:00Z</dcterms:created>
  <dcterms:modified xsi:type="dcterms:W3CDTF">2013-09-30T18:36:00Z</dcterms:modified>
</cp:coreProperties>
</file>